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0BC" w:rsidRDefault="003D718E">
      <w:r>
        <w:t>Case Study Number 1:</w:t>
      </w:r>
    </w:p>
    <w:p w:rsidR="008F5EEE" w:rsidRDefault="008F5EEE" w:rsidP="008F5EEE">
      <w:pPr>
        <w:jc w:val="center"/>
      </w:pPr>
      <w:r w:rsidRPr="008F5EEE">
        <w:rPr>
          <w:b/>
        </w:rPr>
        <w:t>Sylvia Light’s Retirement Portfolio Proposal</w:t>
      </w:r>
      <w:r>
        <w:t>:</w:t>
      </w:r>
    </w:p>
    <w:tbl>
      <w:tblPr>
        <w:tblStyle w:val="TableGrid"/>
        <w:tblW w:w="0" w:type="auto"/>
        <w:tblInd w:w="1687" w:type="dxa"/>
        <w:tblLook w:val="04A0" w:firstRow="1" w:lastRow="0" w:firstColumn="1" w:lastColumn="0" w:noHBand="0" w:noVBand="1"/>
      </w:tblPr>
      <w:tblGrid>
        <w:gridCol w:w="2250"/>
        <w:gridCol w:w="1832"/>
        <w:gridCol w:w="1915"/>
      </w:tblGrid>
      <w:tr w:rsidR="003D718E" w:rsidTr="008F5EEE">
        <w:tc>
          <w:tcPr>
            <w:tcW w:w="2250" w:type="dxa"/>
          </w:tcPr>
          <w:p w:rsidR="003D718E" w:rsidRDefault="003D718E" w:rsidP="008F5EEE">
            <w:pPr>
              <w:jc w:val="center"/>
            </w:pPr>
          </w:p>
        </w:tc>
        <w:tc>
          <w:tcPr>
            <w:tcW w:w="1832" w:type="dxa"/>
          </w:tcPr>
          <w:p w:rsidR="003D718E" w:rsidRDefault="003D718E" w:rsidP="008F5EEE">
            <w:pPr>
              <w:jc w:val="center"/>
            </w:pPr>
            <w:r>
              <w:t>Total Amounts:</w:t>
            </w:r>
          </w:p>
        </w:tc>
        <w:tc>
          <w:tcPr>
            <w:tcW w:w="1915" w:type="dxa"/>
          </w:tcPr>
          <w:p w:rsidR="003D718E" w:rsidRDefault="003D718E" w:rsidP="008F5EEE">
            <w:pPr>
              <w:jc w:val="center"/>
            </w:pPr>
            <w:r>
              <w:t>Allocated funds:</w:t>
            </w:r>
          </w:p>
        </w:tc>
      </w:tr>
      <w:tr w:rsidR="003D718E" w:rsidTr="008F5EEE">
        <w:tc>
          <w:tcPr>
            <w:tcW w:w="2250" w:type="dxa"/>
          </w:tcPr>
          <w:p w:rsidR="003D718E" w:rsidRPr="008F5EEE" w:rsidRDefault="003D718E" w:rsidP="008F5EEE">
            <w:pPr>
              <w:jc w:val="center"/>
              <w:rPr>
                <w:b/>
              </w:rPr>
            </w:pPr>
            <w:r w:rsidRPr="008F5EEE">
              <w:rPr>
                <w:b/>
              </w:rPr>
              <w:t>Individual Retirement Account (IRA):</w:t>
            </w:r>
          </w:p>
        </w:tc>
        <w:tc>
          <w:tcPr>
            <w:tcW w:w="1832" w:type="dxa"/>
          </w:tcPr>
          <w:p w:rsidR="003D718E" w:rsidRDefault="003D718E" w:rsidP="008F5EEE">
            <w:pPr>
              <w:jc w:val="center"/>
            </w:pPr>
            <w:r>
              <w:t>$78,000</w:t>
            </w:r>
          </w:p>
        </w:tc>
        <w:tc>
          <w:tcPr>
            <w:tcW w:w="1915" w:type="dxa"/>
          </w:tcPr>
          <w:p w:rsidR="003D718E" w:rsidRDefault="008F5EEE" w:rsidP="008F5EEE">
            <w:pPr>
              <w:jc w:val="center"/>
            </w:pPr>
            <w:r>
              <w:t>$78,000</w:t>
            </w:r>
          </w:p>
        </w:tc>
      </w:tr>
      <w:tr w:rsidR="003D718E" w:rsidTr="008F5EEE">
        <w:tc>
          <w:tcPr>
            <w:tcW w:w="2250" w:type="dxa"/>
          </w:tcPr>
          <w:p w:rsidR="003D718E" w:rsidRDefault="003D718E" w:rsidP="008F5EEE">
            <w:pPr>
              <w:jc w:val="center"/>
            </w:pPr>
            <w:r w:rsidRPr="008F5EEE">
              <w:rPr>
                <w:b/>
              </w:rPr>
              <w:t>Certificate of Deposits</w:t>
            </w:r>
            <w:r>
              <w:t>:</w:t>
            </w:r>
          </w:p>
        </w:tc>
        <w:tc>
          <w:tcPr>
            <w:tcW w:w="1832" w:type="dxa"/>
          </w:tcPr>
          <w:p w:rsidR="003D718E" w:rsidRDefault="003D718E" w:rsidP="008F5EEE">
            <w:pPr>
              <w:jc w:val="center"/>
            </w:pPr>
            <w:r>
              <w:t>$234,000</w:t>
            </w:r>
          </w:p>
        </w:tc>
        <w:tc>
          <w:tcPr>
            <w:tcW w:w="1915" w:type="dxa"/>
          </w:tcPr>
          <w:p w:rsidR="003D718E" w:rsidRDefault="008F5EEE" w:rsidP="008F5EEE">
            <w:pPr>
              <w:jc w:val="center"/>
            </w:pPr>
            <w:r>
              <w:t>$42,000</w:t>
            </w:r>
          </w:p>
        </w:tc>
      </w:tr>
      <w:tr w:rsidR="003D718E" w:rsidTr="008F5EEE">
        <w:tc>
          <w:tcPr>
            <w:tcW w:w="2250" w:type="dxa"/>
          </w:tcPr>
          <w:p w:rsidR="003D718E" w:rsidRDefault="003D718E" w:rsidP="008F5EEE">
            <w:pPr>
              <w:jc w:val="center"/>
            </w:pPr>
            <w:r w:rsidRPr="008F5EEE">
              <w:rPr>
                <w:b/>
              </w:rPr>
              <w:t>Checking Account</w:t>
            </w:r>
            <w:r>
              <w:t>:</w:t>
            </w:r>
          </w:p>
        </w:tc>
        <w:tc>
          <w:tcPr>
            <w:tcW w:w="1832" w:type="dxa"/>
          </w:tcPr>
          <w:p w:rsidR="003D718E" w:rsidRDefault="008F5EEE" w:rsidP="008F5EEE">
            <w:pPr>
              <w:jc w:val="center"/>
            </w:pPr>
            <w:r>
              <w:t>$3,500</w:t>
            </w:r>
          </w:p>
        </w:tc>
        <w:tc>
          <w:tcPr>
            <w:tcW w:w="1915" w:type="dxa"/>
          </w:tcPr>
          <w:p w:rsidR="003D718E" w:rsidRDefault="008F5EEE" w:rsidP="008F5EEE">
            <w:pPr>
              <w:jc w:val="center"/>
            </w:pPr>
            <w:r>
              <w:t>$3,500</w:t>
            </w:r>
          </w:p>
        </w:tc>
      </w:tr>
      <w:tr w:rsidR="003D718E" w:rsidTr="008F5EEE">
        <w:tc>
          <w:tcPr>
            <w:tcW w:w="2250" w:type="dxa"/>
          </w:tcPr>
          <w:p w:rsidR="003D718E" w:rsidRDefault="003D718E" w:rsidP="008F5EEE">
            <w:pPr>
              <w:jc w:val="center"/>
            </w:pPr>
            <w:r w:rsidRPr="008F5EEE">
              <w:rPr>
                <w:b/>
              </w:rPr>
              <w:t>Annuities</w:t>
            </w:r>
            <w:r>
              <w:t>:</w:t>
            </w:r>
          </w:p>
        </w:tc>
        <w:tc>
          <w:tcPr>
            <w:tcW w:w="1832" w:type="dxa"/>
          </w:tcPr>
          <w:p w:rsidR="003D718E" w:rsidRDefault="003D718E" w:rsidP="008F5EEE">
            <w:pPr>
              <w:jc w:val="center"/>
            </w:pPr>
          </w:p>
        </w:tc>
        <w:tc>
          <w:tcPr>
            <w:tcW w:w="1915" w:type="dxa"/>
          </w:tcPr>
          <w:p w:rsidR="003D718E" w:rsidRDefault="008F5EEE" w:rsidP="008F5EEE">
            <w:pPr>
              <w:jc w:val="center"/>
            </w:pPr>
            <w:r>
              <w:t>$110,000</w:t>
            </w:r>
          </w:p>
        </w:tc>
      </w:tr>
      <w:tr w:rsidR="003D718E" w:rsidTr="008F5EEE">
        <w:tc>
          <w:tcPr>
            <w:tcW w:w="2250" w:type="dxa"/>
          </w:tcPr>
          <w:p w:rsidR="003D718E" w:rsidRDefault="003D718E" w:rsidP="008F5EEE">
            <w:pPr>
              <w:jc w:val="center"/>
            </w:pPr>
            <w:r w:rsidRPr="008F5EEE">
              <w:rPr>
                <w:b/>
              </w:rPr>
              <w:t>Municipal Bonds</w:t>
            </w:r>
            <w:r>
              <w:t>:</w:t>
            </w:r>
          </w:p>
        </w:tc>
        <w:tc>
          <w:tcPr>
            <w:tcW w:w="1832" w:type="dxa"/>
          </w:tcPr>
          <w:p w:rsidR="003D718E" w:rsidRDefault="003D718E" w:rsidP="008F5EEE">
            <w:pPr>
              <w:jc w:val="center"/>
            </w:pPr>
          </w:p>
        </w:tc>
        <w:tc>
          <w:tcPr>
            <w:tcW w:w="1915" w:type="dxa"/>
          </w:tcPr>
          <w:p w:rsidR="003D718E" w:rsidRDefault="008F5EEE" w:rsidP="008F5EEE">
            <w:pPr>
              <w:jc w:val="center"/>
            </w:pPr>
            <w:r>
              <w:t>$45,000</w:t>
            </w:r>
          </w:p>
        </w:tc>
      </w:tr>
      <w:tr w:rsidR="003D718E" w:rsidTr="008F5EEE">
        <w:tc>
          <w:tcPr>
            <w:tcW w:w="2250" w:type="dxa"/>
          </w:tcPr>
          <w:p w:rsidR="003D718E" w:rsidRDefault="003D718E" w:rsidP="008F5EEE">
            <w:pPr>
              <w:jc w:val="center"/>
            </w:pPr>
            <w:r w:rsidRPr="008F5EEE">
              <w:rPr>
                <w:b/>
              </w:rPr>
              <w:t>Stock Funds</w:t>
            </w:r>
            <w:r>
              <w:t>:</w:t>
            </w:r>
          </w:p>
        </w:tc>
        <w:tc>
          <w:tcPr>
            <w:tcW w:w="1832" w:type="dxa"/>
          </w:tcPr>
          <w:p w:rsidR="003D718E" w:rsidRDefault="003D718E" w:rsidP="008F5EEE">
            <w:pPr>
              <w:jc w:val="center"/>
            </w:pPr>
          </w:p>
        </w:tc>
        <w:tc>
          <w:tcPr>
            <w:tcW w:w="1915" w:type="dxa"/>
          </w:tcPr>
          <w:p w:rsidR="003D718E" w:rsidRDefault="008F5EEE" w:rsidP="008F5EEE">
            <w:pPr>
              <w:jc w:val="center"/>
            </w:pPr>
            <w:r>
              <w:t>$37,000</w:t>
            </w:r>
          </w:p>
        </w:tc>
      </w:tr>
      <w:tr w:rsidR="003D718E" w:rsidTr="008F5EEE">
        <w:tc>
          <w:tcPr>
            <w:tcW w:w="2250" w:type="dxa"/>
          </w:tcPr>
          <w:p w:rsidR="003D718E" w:rsidRDefault="003D718E" w:rsidP="008F5EEE">
            <w:pPr>
              <w:jc w:val="center"/>
            </w:pPr>
            <w:r w:rsidRPr="008F5EEE">
              <w:rPr>
                <w:b/>
              </w:rPr>
              <w:t>Grand Total</w:t>
            </w:r>
            <w:r>
              <w:t>:</w:t>
            </w:r>
          </w:p>
        </w:tc>
        <w:tc>
          <w:tcPr>
            <w:tcW w:w="1832" w:type="dxa"/>
          </w:tcPr>
          <w:p w:rsidR="003D718E" w:rsidRDefault="008F5EEE" w:rsidP="008F5EEE">
            <w:pPr>
              <w:jc w:val="center"/>
            </w:pPr>
            <w:r>
              <w:t>$315,500</w:t>
            </w:r>
          </w:p>
        </w:tc>
        <w:tc>
          <w:tcPr>
            <w:tcW w:w="1915" w:type="dxa"/>
          </w:tcPr>
          <w:p w:rsidR="003D718E" w:rsidRDefault="008F5EEE" w:rsidP="008F5EEE">
            <w:pPr>
              <w:jc w:val="center"/>
            </w:pPr>
            <w:r>
              <w:t>$315,500</w:t>
            </w:r>
          </w:p>
        </w:tc>
      </w:tr>
      <w:tr w:rsidR="008F5EEE" w:rsidTr="008F5EEE">
        <w:tc>
          <w:tcPr>
            <w:tcW w:w="2250" w:type="dxa"/>
          </w:tcPr>
          <w:p w:rsidR="008F5EEE" w:rsidRPr="008F5EEE" w:rsidRDefault="008F5EEE" w:rsidP="008F5EEE">
            <w:pPr>
              <w:jc w:val="center"/>
              <w:rPr>
                <w:b/>
              </w:rPr>
            </w:pPr>
          </w:p>
        </w:tc>
        <w:tc>
          <w:tcPr>
            <w:tcW w:w="1832" w:type="dxa"/>
          </w:tcPr>
          <w:p w:rsidR="008F5EEE" w:rsidRDefault="008F5EEE" w:rsidP="008F5EEE">
            <w:pPr>
              <w:jc w:val="center"/>
            </w:pPr>
          </w:p>
        </w:tc>
        <w:tc>
          <w:tcPr>
            <w:tcW w:w="1915" w:type="dxa"/>
          </w:tcPr>
          <w:p w:rsidR="008F5EEE" w:rsidRDefault="008F5EEE" w:rsidP="008F5EEE">
            <w:pPr>
              <w:jc w:val="center"/>
            </w:pPr>
          </w:p>
        </w:tc>
      </w:tr>
    </w:tbl>
    <w:p w:rsidR="003D718E" w:rsidRDefault="003D718E" w:rsidP="008F5EEE">
      <w:pPr>
        <w:jc w:val="center"/>
      </w:pPr>
    </w:p>
    <w:p w:rsidR="00AA47B3" w:rsidRDefault="00AA47B3" w:rsidP="008F5EEE">
      <w:pPr>
        <w:jc w:val="center"/>
      </w:pPr>
    </w:p>
    <w:p w:rsidR="008F5EEE" w:rsidRDefault="008F5EEE" w:rsidP="008F5EEE">
      <w:pPr>
        <w:jc w:val="center"/>
      </w:pPr>
      <w:r>
        <w:rPr>
          <w:noProof/>
        </w:rPr>
        <w:drawing>
          <wp:inline distT="0" distB="0" distL="0" distR="0">
            <wp:extent cx="5486400" cy="320040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AA47B3" w:rsidRDefault="00AA47B3" w:rsidP="008F5EEE">
      <w:pPr>
        <w:jc w:val="center"/>
      </w:pPr>
    </w:p>
    <w:p w:rsidR="00AA47B3" w:rsidRDefault="00AA47B3" w:rsidP="00AA47B3"/>
    <w:p w:rsidR="00AA47B3" w:rsidRDefault="00AA47B3" w:rsidP="00AA47B3"/>
    <w:p w:rsidR="00AA47B3" w:rsidRDefault="00AA47B3" w:rsidP="00AA47B3"/>
    <w:p w:rsidR="00AA47B3" w:rsidRDefault="00AA47B3" w:rsidP="00AA47B3"/>
    <w:p w:rsidR="00AA47B3" w:rsidRDefault="00AA47B3" w:rsidP="00AA47B3">
      <w:r>
        <w:lastRenderedPageBreak/>
        <w:t>Case Study Number 2:</w:t>
      </w:r>
    </w:p>
    <w:p w:rsidR="00AA47B3" w:rsidRDefault="00AA47B3" w:rsidP="00AA47B3">
      <w:r>
        <w:rPr>
          <w:noProof/>
        </w:rPr>
        <w:drawing>
          <wp:inline distT="0" distB="0" distL="0" distR="0">
            <wp:extent cx="5486400" cy="3200400"/>
            <wp:effectExtent l="0" t="0" r="19050"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AA47B3" w:rsidRDefault="00AA47B3" w:rsidP="00AA47B3">
      <w:r>
        <w:tab/>
      </w:r>
    </w:p>
    <w:p w:rsidR="00600A72" w:rsidRDefault="00600A72" w:rsidP="00AA47B3">
      <w:r>
        <w:t>I chose the bar chart because it clearly shows the sheer amount of how much correspondence is done via technology rather than physical letters. The bar chart was nice in the fact that it showed both visual lines and the exact numbers of data.</w:t>
      </w:r>
      <w:bookmarkStart w:id="0" w:name="_GoBack"/>
      <w:bookmarkEnd w:id="0"/>
    </w:p>
    <w:sectPr w:rsidR="00600A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18E"/>
    <w:rsid w:val="003D718E"/>
    <w:rsid w:val="00600A72"/>
    <w:rsid w:val="008B20BC"/>
    <w:rsid w:val="008F5EEE"/>
    <w:rsid w:val="00AA47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71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F5E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5E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71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F5E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5E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Sylvia Light's Proposed Retirement Portfolio:</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Sheet1!$B$1</c:f>
              <c:strCache>
                <c:ptCount val="1"/>
                <c:pt idx="0">
                  <c:v>Current Portfolio</c:v>
                </c:pt>
              </c:strCache>
            </c:strRef>
          </c:tx>
          <c:invertIfNegative val="0"/>
          <c:cat>
            <c:strRef>
              <c:f>Sheet1!$A$2:$A$7</c:f>
              <c:strCache>
                <c:ptCount val="6"/>
                <c:pt idx="0">
                  <c:v>Individual retirement Accounts:</c:v>
                </c:pt>
                <c:pt idx="1">
                  <c:v>Certificate of Deposits</c:v>
                </c:pt>
                <c:pt idx="2">
                  <c:v>Checking Accounts</c:v>
                </c:pt>
                <c:pt idx="3">
                  <c:v>Annuities</c:v>
                </c:pt>
                <c:pt idx="4">
                  <c:v>Municipal Bonds:</c:v>
                </c:pt>
                <c:pt idx="5">
                  <c:v>Stock Funds:</c:v>
                </c:pt>
              </c:strCache>
            </c:strRef>
          </c:cat>
          <c:val>
            <c:numRef>
              <c:f>Sheet1!$B$2:$B$7</c:f>
              <c:numCache>
                <c:formatCode>#,##0</c:formatCode>
                <c:ptCount val="6"/>
                <c:pt idx="0">
                  <c:v>78000</c:v>
                </c:pt>
                <c:pt idx="1">
                  <c:v>234000</c:v>
                </c:pt>
                <c:pt idx="2">
                  <c:v>3500</c:v>
                </c:pt>
              </c:numCache>
            </c:numRef>
          </c:val>
        </c:ser>
        <c:ser>
          <c:idx val="1"/>
          <c:order val="1"/>
          <c:tx>
            <c:strRef>
              <c:f>Sheet1!$C$1</c:f>
              <c:strCache>
                <c:ptCount val="1"/>
                <c:pt idx="0">
                  <c:v>Allocated Plan:</c:v>
                </c:pt>
              </c:strCache>
            </c:strRef>
          </c:tx>
          <c:invertIfNegative val="0"/>
          <c:cat>
            <c:strRef>
              <c:f>Sheet1!$A$2:$A$7</c:f>
              <c:strCache>
                <c:ptCount val="6"/>
                <c:pt idx="0">
                  <c:v>Individual retirement Accounts:</c:v>
                </c:pt>
                <c:pt idx="1">
                  <c:v>Certificate of Deposits</c:v>
                </c:pt>
                <c:pt idx="2">
                  <c:v>Checking Accounts</c:v>
                </c:pt>
                <c:pt idx="3">
                  <c:v>Annuities</c:v>
                </c:pt>
                <c:pt idx="4">
                  <c:v>Municipal Bonds:</c:v>
                </c:pt>
                <c:pt idx="5">
                  <c:v>Stock Funds:</c:v>
                </c:pt>
              </c:strCache>
            </c:strRef>
          </c:cat>
          <c:val>
            <c:numRef>
              <c:f>Sheet1!$C$2:$C$7</c:f>
              <c:numCache>
                <c:formatCode>#,##0</c:formatCode>
                <c:ptCount val="6"/>
                <c:pt idx="0">
                  <c:v>78000</c:v>
                </c:pt>
                <c:pt idx="1">
                  <c:v>42000</c:v>
                </c:pt>
                <c:pt idx="2">
                  <c:v>3500</c:v>
                </c:pt>
                <c:pt idx="3">
                  <c:v>110000</c:v>
                </c:pt>
                <c:pt idx="4">
                  <c:v>45000</c:v>
                </c:pt>
                <c:pt idx="5">
                  <c:v>37000</c:v>
                </c:pt>
              </c:numCache>
            </c:numRef>
          </c:val>
        </c:ser>
        <c:dLbls>
          <c:showLegendKey val="0"/>
          <c:showVal val="0"/>
          <c:showCatName val="0"/>
          <c:showSerName val="0"/>
          <c:showPercent val="0"/>
          <c:showBubbleSize val="0"/>
        </c:dLbls>
        <c:gapWidth val="150"/>
        <c:shape val="box"/>
        <c:axId val="124204544"/>
        <c:axId val="124206080"/>
        <c:axId val="0"/>
      </c:bar3DChart>
      <c:catAx>
        <c:axId val="124204544"/>
        <c:scaling>
          <c:orientation val="minMax"/>
        </c:scaling>
        <c:delete val="0"/>
        <c:axPos val="b"/>
        <c:majorTickMark val="none"/>
        <c:minorTickMark val="none"/>
        <c:tickLblPos val="nextTo"/>
        <c:crossAx val="124206080"/>
        <c:crosses val="autoZero"/>
        <c:auto val="1"/>
        <c:lblAlgn val="ctr"/>
        <c:lblOffset val="100"/>
        <c:noMultiLvlLbl val="0"/>
      </c:catAx>
      <c:valAx>
        <c:axId val="124206080"/>
        <c:scaling>
          <c:orientation val="minMax"/>
        </c:scaling>
        <c:delete val="0"/>
        <c:axPos val="l"/>
        <c:majorGridlines/>
        <c:numFmt formatCode="#,##0" sourceLinked="1"/>
        <c:majorTickMark val="none"/>
        <c:minorTickMark val="none"/>
        <c:tickLblPos val="nextTo"/>
        <c:crossAx val="124204544"/>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barChart>
        <c:barDir val="col"/>
        <c:grouping val="clustered"/>
        <c:varyColors val="0"/>
        <c:ser>
          <c:idx val="0"/>
          <c:order val="0"/>
          <c:tx>
            <c:strRef>
              <c:f>Sheet1!$B$1</c:f>
              <c:strCache>
                <c:ptCount val="1"/>
                <c:pt idx="0">
                  <c:v>Technical Messages per week:</c:v>
                </c:pt>
              </c:strCache>
            </c:strRef>
          </c:tx>
          <c:invertIfNegative val="0"/>
          <c:dLbls>
            <c:showLegendKey val="0"/>
            <c:showVal val="1"/>
            <c:showCatName val="0"/>
            <c:showSerName val="0"/>
            <c:showPercent val="0"/>
            <c:showBubbleSize val="0"/>
            <c:showLeaderLines val="0"/>
          </c:dLbls>
          <c:cat>
            <c:strRef>
              <c:f>Sheet1!$A$2:$A$8</c:f>
              <c:strCache>
                <c:ptCount val="7"/>
                <c:pt idx="0">
                  <c:v>Inquiry </c:v>
                </c:pt>
                <c:pt idx="1">
                  <c:v>Response</c:v>
                </c:pt>
                <c:pt idx="2">
                  <c:v>Cover</c:v>
                </c:pt>
                <c:pt idx="3">
                  <c:v>Good News</c:v>
                </c:pt>
                <c:pt idx="4">
                  <c:v>Adjustment </c:v>
                </c:pt>
                <c:pt idx="5">
                  <c:v>Bad News</c:v>
                </c:pt>
                <c:pt idx="6">
                  <c:v>E-Mail Messages</c:v>
                </c:pt>
              </c:strCache>
            </c:strRef>
          </c:cat>
          <c:val>
            <c:numRef>
              <c:f>Sheet1!$B$2:$B$8</c:f>
              <c:numCache>
                <c:formatCode>General</c:formatCode>
                <c:ptCount val="7"/>
                <c:pt idx="0">
                  <c:v>57</c:v>
                </c:pt>
                <c:pt idx="1">
                  <c:v>253</c:v>
                </c:pt>
                <c:pt idx="2">
                  <c:v>43</c:v>
                </c:pt>
                <c:pt idx="3">
                  <c:v>12</c:v>
                </c:pt>
                <c:pt idx="4">
                  <c:v>25</c:v>
                </c:pt>
                <c:pt idx="5">
                  <c:v>2</c:v>
                </c:pt>
                <c:pt idx="6" formatCode="#,##0">
                  <c:v>7000</c:v>
                </c:pt>
              </c:numCache>
            </c:numRef>
          </c:val>
        </c:ser>
        <c:dLbls>
          <c:showLegendKey val="0"/>
          <c:showVal val="0"/>
          <c:showCatName val="0"/>
          <c:showSerName val="0"/>
          <c:showPercent val="0"/>
          <c:showBubbleSize val="0"/>
        </c:dLbls>
        <c:gapWidth val="150"/>
        <c:axId val="131953792"/>
        <c:axId val="124181888"/>
      </c:barChart>
      <c:valAx>
        <c:axId val="124181888"/>
        <c:scaling>
          <c:orientation val="minMax"/>
        </c:scaling>
        <c:delete val="0"/>
        <c:axPos val="l"/>
        <c:majorGridlines/>
        <c:numFmt formatCode="General" sourceLinked="1"/>
        <c:majorTickMark val="out"/>
        <c:minorTickMark val="none"/>
        <c:tickLblPos val="nextTo"/>
        <c:crossAx val="131953792"/>
        <c:crosses val="autoZero"/>
        <c:crossBetween val="between"/>
      </c:valAx>
      <c:catAx>
        <c:axId val="131953792"/>
        <c:scaling>
          <c:orientation val="minMax"/>
        </c:scaling>
        <c:delete val="0"/>
        <c:axPos val="b"/>
        <c:majorTickMark val="out"/>
        <c:minorTickMark val="none"/>
        <c:tickLblPos val="nextTo"/>
        <c:crossAx val="124181888"/>
        <c:crosses val="autoZero"/>
        <c:auto val="1"/>
        <c:lblAlgn val="ctr"/>
        <c:lblOffset val="100"/>
        <c:noMultiLvlLbl val="0"/>
      </c:catAx>
    </c:plotArea>
    <c:legend>
      <c:legendPos val="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91</Words>
  <Characters>525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Mongoose12</dc:creator>
  <cp:lastModifiedBy>Mongoose12</cp:lastModifiedBy>
  <cp:revision>1</cp:revision>
  <dcterms:created xsi:type="dcterms:W3CDTF">2012-03-13T14:32:00Z</dcterms:created>
  <dcterms:modified xsi:type="dcterms:W3CDTF">2012-03-13T15:14:00Z</dcterms:modified>
</cp:coreProperties>
</file>